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2996" w14:textId="77CAA0F4" w:rsidR="00800DA0" w:rsidRPr="009A4A55" w:rsidRDefault="009A4A55" w:rsidP="00800DA0">
      <w:pPr>
        <w:spacing w:before="100" w:beforeAutospacing="1" w:after="100" w:afterAutospacing="1" w:line="240" w:lineRule="auto"/>
        <w:outlineLvl w:val="2"/>
        <w:rPr>
          <w:rFonts w:ascii="Aptos" w:eastAsia="Times New Roman" w:hAnsi="Aptos" w:cs="Times New Roman"/>
          <w:b/>
          <w:bCs/>
          <w:color w:val="000000"/>
          <w:kern w:val="0"/>
          <w14:ligatures w14:val="none"/>
        </w:rPr>
      </w:pPr>
      <w:r w:rsidRPr="009A4A55">
        <w:rPr>
          <w:rFonts w:ascii="Aptos" w:eastAsia="Times New Roman" w:hAnsi="Aptos" w:cs="Times New Roman"/>
          <w:b/>
          <w:bCs/>
          <w:color w:val="000000"/>
          <w:kern w:val="0"/>
          <w14:ligatures w14:val="none"/>
        </w:rPr>
        <w:t>Case Study</w:t>
      </w:r>
      <w:r w:rsidRPr="009A4A55">
        <w:rPr>
          <w:rFonts w:ascii="Aptos" w:eastAsia="Times New Roman" w:hAnsi="Aptos" w:cs="Times New Roman"/>
          <w:b/>
          <w:bCs/>
          <w:color w:val="000000"/>
          <w:kern w:val="0"/>
          <w14:ligatures w14:val="none"/>
        </w:rPr>
        <w:br/>
        <w:t>Alex: Whole-Person Assessment and Planning</w:t>
      </w:r>
    </w:p>
    <w:p w14:paraId="3E50C7BB" w14:textId="77777777" w:rsidR="007913C4" w:rsidRPr="009A4A55" w:rsidRDefault="00800DA0" w:rsidP="00800DA0">
      <w:pPr>
        <w:spacing w:before="100" w:beforeAutospacing="1" w:after="100" w:afterAutospacing="1" w:line="240" w:lineRule="auto"/>
        <w:rPr>
          <w:rFonts w:ascii="Aptos" w:eastAsia="Times New Roman" w:hAnsi="Aptos" w:cs="Times New Roman"/>
          <w:color w:val="000000"/>
          <w:kern w:val="0"/>
          <w14:ligatures w14:val="none"/>
        </w:rPr>
      </w:pPr>
      <w:r w:rsidRPr="009A4A55">
        <w:rPr>
          <w:rFonts w:ascii="Aptos" w:eastAsia="Times New Roman" w:hAnsi="Aptos" w:cs="Times New Roman"/>
          <w:b/>
          <w:bCs/>
          <w:color w:val="000000"/>
          <w:kern w:val="0"/>
          <w14:ligatures w14:val="none"/>
        </w:rPr>
        <w:t>Background</w:t>
      </w:r>
      <w:r w:rsidRPr="009A4A55">
        <w:rPr>
          <w:rFonts w:ascii="Aptos" w:eastAsia="Times New Roman" w:hAnsi="Aptos" w:cs="Times New Roman"/>
          <w:color w:val="000000"/>
          <w:kern w:val="0"/>
          <w14:ligatures w14:val="none"/>
        </w:rPr>
        <w:t> </w:t>
      </w:r>
    </w:p>
    <w:p w14:paraId="768E1C8E" w14:textId="6156142C" w:rsidR="00800DA0" w:rsidRPr="00A1683B" w:rsidRDefault="00800DA0" w:rsidP="00800DA0">
      <w:pPr>
        <w:spacing w:before="100" w:beforeAutospacing="1" w:after="100" w:afterAutospacing="1" w:line="240" w:lineRule="auto"/>
        <w:rPr>
          <w:rFonts w:ascii="Aptos" w:eastAsia="Times New Roman" w:hAnsi="Aptos" w:cs="Times New Roman"/>
          <w:color w:val="000000"/>
          <w:kern w:val="0"/>
          <w14:ligatures w14:val="none"/>
        </w:rPr>
      </w:pPr>
      <w:r w:rsidRPr="00A1683B">
        <w:rPr>
          <w:rFonts w:ascii="Aptos" w:eastAsia="Times New Roman" w:hAnsi="Aptos" w:cs="Times New Roman"/>
          <w:color w:val="000000"/>
          <w:kern w:val="0"/>
          <w14:ligatures w14:val="none"/>
        </w:rPr>
        <w:t xml:space="preserve">Alex, a 32-year-old male, recently overdosed on fentanyl at an acquaintance's home. Emergency responders administered Narcan and transported him to the local emergency department, where he met with a </w:t>
      </w:r>
      <w:r w:rsidR="00E36C8D" w:rsidRPr="00A1683B">
        <w:rPr>
          <w:rFonts w:ascii="Aptos" w:eastAsia="Times New Roman" w:hAnsi="Aptos" w:cs="Times New Roman"/>
          <w:color w:val="000000"/>
          <w:kern w:val="0"/>
          <w14:ligatures w14:val="none"/>
        </w:rPr>
        <w:t>peer recovery support worker</w:t>
      </w:r>
      <w:r w:rsidRPr="00A1683B">
        <w:rPr>
          <w:rFonts w:ascii="Aptos" w:eastAsia="Times New Roman" w:hAnsi="Aptos" w:cs="Times New Roman"/>
          <w:color w:val="000000"/>
          <w:kern w:val="0"/>
          <w14:ligatures w14:val="none"/>
        </w:rPr>
        <w:t xml:space="preserve"> who helped him schedule an appointment for outpatient behavioral health services.</w:t>
      </w:r>
    </w:p>
    <w:p w14:paraId="1C28B936" w14:textId="3C23794B" w:rsidR="007913C4" w:rsidRPr="00A1683B" w:rsidRDefault="003536BD" w:rsidP="007913C4">
      <w:pPr>
        <w:pStyle w:val="p1"/>
        <w:rPr>
          <w:rFonts w:ascii="Aptos" w:hAnsi="Aptos"/>
          <w:color w:val="000000"/>
        </w:rPr>
      </w:pPr>
      <w:r w:rsidRPr="00A1683B">
        <w:rPr>
          <w:rFonts w:ascii="Aptos" w:hAnsi="Aptos"/>
          <w:b/>
          <w:bCs/>
          <w:color w:val="000000"/>
        </w:rPr>
        <w:t>Intake</w:t>
      </w:r>
    </w:p>
    <w:p w14:paraId="65D8B4EA" w14:textId="340F42D6" w:rsidR="007913C4" w:rsidRPr="00A1683B" w:rsidRDefault="00800DA0" w:rsidP="007913C4">
      <w:pPr>
        <w:pStyle w:val="p1"/>
        <w:rPr>
          <w:rFonts w:ascii="Aptos" w:hAnsi="Aptos"/>
        </w:rPr>
      </w:pPr>
      <w:r w:rsidRPr="00A1683B">
        <w:rPr>
          <w:rFonts w:ascii="Aptos" w:hAnsi="Aptos"/>
          <w:color w:val="000000"/>
        </w:rPr>
        <w:t>At his first appointment at the behavioral health clinic, Alex met Jordan, a newly hired case manager. Jordan set aside the intake forms and invited Alex to share his story, demonstrating active listening through her full attention and nonjudgmental responses.</w:t>
      </w:r>
      <w:r w:rsidR="007913C4" w:rsidRPr="00A1683B">
        <w:rPr>
          <w:rFonts w:ascii="Aptos" w:hAnsi="Aptos"/>
          <w:color w:val="000000"/>
        </w:rPr>
        <w:t xml:space="preserve"> </w:t>
      </w:r>
    </w:p>
    <w:p w14:paraId="719F7B98" w14:textId="77777777" w:rsidR="00800DA0" w:rsidRPr="00A1683B" w:rsidRDefault="00800DA0" w:rsidP="753AA46E">
      <w:pPr>
        <w:spacing w:before="100" w:beforeAutospacing="1" w:after="100" w:afterAutospacing="1" w:line="240" w:lineRule="auto"/>
        <w:rPr>
          <w:rFonts w:ascii="Aptos" w:eastAsia="Times New Roman" w:hAnsi="Aptos" w:cs="Times New Roman"/>
          <w:color w:val="000000"/>
          <w:kern w:val="0"/>
          <w14:ligatures w14:val="none"/>
        </w:rPr>
      </w:pPr>
      <w:r w:rsidRPr="00A1683B">
        <w:rPr>
          <w:rFonts w:ascii="Aptos" w:eastAsia="Times New Roman" w:hAnsi="Aptos" w:cs="Times New Roman"/>
          <w:color w:val="000000"/>
          <w:kern w:val="0"/>
          <w14:ligatures w14:val="none"/>
        </w:rPr>
        <w:t>Alex revealed that his substance use began after his mother's death, when he first used heroin to numb overwhelming grief. His escalating heroin use triggered a devastating cascade of losses: his job of eight years, his home, and eventually, stable housing—leaving him living in his car. These losses deepened his depression and strained his family relationships. When his car was repossessed, he began couch-surfing, and his addiction spiraled further out of control. As Alex shared his story, Jordan observed multiple abscesses on his arms that required medical attention, as well as his worn clothing—indicators of his current living situation.</w:t>
      </w:r>
    </w:p>
    <w:p w14:paraId="6959929B" w14:textId="1868837A" w:rsidR="3E809A2A" w:rsidRPr="00A1683B" w:rsidRDefault="3E809A2A" w:rsidP="753AA46E">
      <w:pPr>
        <w:spacing w:beforeAutospacing="1" w:afterAutospacing="1" w:line="240" w:lineRule="auto"/>
        <w:rPr>
          <w:rFonts w:ascii="Aptos" w:hAnsi="Aptos"/>
        </w:rPr>
      </w:pPr>
      <w:r w:rsidRPr="00A1683B">
        <w:rPr>
          <w:rFonts w:ascii="Aptos" w:hAnsi="Aptos"/>
        </w:rPr>
        <w:t>Jordan completed a biopsychosocial assessment across multiple domains, including housing, physical and mental health, employment and finances, transportation, and social supports, to understand where coordination would remove barriers fastest.</w:t>
      </w:r>
    </w:p>
    <w:p w14:paraId="1499F26A" w14:textId="77777777" w:rsidR="007913C4" w:rsidRPr="00A1683B" w:rsidRDefault="00800DA0" w:rsidP="00800DA0">
      <w:pPr>
        <w:spacing w:before="100" w:beforeAutospacing="1" w:after="100" w:afterAutospacing="1" w:line="240" w:lineRule="auto"/>
        <w:rPr>
          <w:rFonts w:ascii="Aptos" w:eastAsia="Times New Roman" w:hAnsi="Aptos" w:cs="Times New Roman"/>
          <w:color w:val="000000"/>
          <w:kern w:val="0"/>
          <w14:ligatures w14:val="none"/>
        </w:rPr>
      </w:pPr>
      <w:r w:rsidRPr="00A1683B">
        <w:rPr>
          <w:rFonts w:ascii="Aptos" w:eastAsia="Times New Roman" w:hAnsi="Aptos" w:cs="Times New Roman"/>
          <w:b/>
          <w:bCs/>
          <w:color w:val="000000"/>
          <w:kern w:val="0"/>
          <w14:ligatures w14:val="none"/>
        </w:rPr>
        <w:t>Collaborative Planning</w:t>
      </w:r>
      <w:r w:rsidRPr="00A1683B">
        <w:rPr>
          <w:rFonts w:ascii="Aptos" w:eastAsia="Times New Roman" w:hAnsi="Aptos" w:cs="Times New Roman"/>
          <w:color w:val="000000"/>
          <w:kern w:val="0"/>
          <w14:ligatures w14:val="none"/>
        </w:rPr>
        <w:t> </w:t>
      </w:r>
    </w:p>
    <w:p w14:paraId="0E557467" w14:textId="4675C232" w:rsidR="00800DA0" w:rsidRPr="00A1683B" w:rsidRDefault="00800DA0" w:rsidP="753AA46E">
      <w:pPr>
        <w:spacing w:before="100" w:beforeAutospacing="1" w:after="100" w:afterAutospacing="1" w:line="240" w:lineRule="auto"/>
        <w:rPr>
          <w:rFonts w:ascii="Aptos" w:eastAsia="Times New Roman" w:hAnsi="Aptos" w:cs="Times New Roman"/>
          <w:color w:val="000000"/>
          <w:kern w:val="0"/>
          <w14:ligatures w14:val="none"/>
        </w:rPr>
      </w:pPr>
      <w:r w:rsidRPr="00A1683B">
        <w:rPr>
          <w:rFonts w:ascii="Aptos" w:eastAsia="Times New Roman" w:hAnsi="Aptos" w:cs="Times New Roman"/>
          <w:color w:val="000000"/>
          <w:kern w:val="0"/>
          <w14:ligatures w14:val="none"/>
        </w:rPr>
        <w:t xml:space="preserve">After listening carefully, Jordan explained that they would complete the assessment together and develop a plan based on Alex's goals. </w:t>
      </w:r>
      <w:r w:rsidR="1DE27A2B" w:rsidRPr="00A1683B">
        <w:rPr>
          <w:rFonts w:ascii="Aptos" w:eastAsia="Times New Roman" w:hAnsi="Aptos" w:cs="Times New Roman"/>
          <w:color w:val="000000"/>
          <w:kern w:val="0"/>
          <w14:ligatures w14:val="none"/>
        </w:rPr>
        <w:t>He shared,</w:t>
      </w:r>
      <w:r w:rsidRPr="00A1683B">
        <w:rPr>
          <w:rFonts w:ascii="Aptos" w:eastAsia="Times New Roman" w:hAnsi="Aptos" w:cs="Times New Roman"/>
          <w:color w:val="000000"/>
          <w:kern w:val="0"/>
          <w14:ligatures w14:val="none"/>
        </w:rPr>
        <w:t xml:space="preserve"> "I want to stop using, take care of my health, find a job, and get an apartment." Together, they translated these into actionable service objectives:</w:t>
      </w:r>
    </w:p>
    <w:p w14:paraId="7F5F4265" w14:textId="77777777" w:rsidR="00800DA0" w:rsidRPr="00A1683B" w:rsidRDefault="00800DA0" w:rsidP="00800DA0">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A1683B">
        <w:rPr>
          <w:rFonts w:ascii="Aptos" w:eastAsia="Times New Roman" w:hAnsi="Aptos" w:cs="Times New Roman"/>
          <w:color w:val="000000"/>
          <w:kern w:val="0"/>
          <w14:ligatures w14:val="none"/>
        </w:rPr>
        <w:t>Medication-assisted treatment (MAT) combined with counseling for depression</w:t>
      </w:r>
    </w:p>
    <w:p w14:paraId="048318A0" w14:textId="77777777" w:rsidR="00800DA0" w:rsidRPr="00A1683B" w:rsidRDefault="00800DA0" w:rsidP="00800DA0">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A1683B">
        <w:rPr>
          <w:rFonts w:ascii="Aptos" w:eastAsia="Times New Roman" w:hAnsi="Aptos" w:cs="Times New Roman"/>
          <w:color w:val="000000"/>
          <w:kern w:val="0"/>
          <w14:ligatures w14:val="none"/>
        </w:rPr>
        <w:t>Employment and vocational assistance</w:t>
      </w:r>
    </w:p>
    <w:p w14:paraId="3454763C" w14:textId="77777777" w:rsidR="00800DA0" w:rsidRPr="00A1683B" w:rsidRDefault="00800DA0" w:rsidP="00800DA0">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A1683B">
        <w:rPr>
          <w:rFonts w:ascii="Aptos" w:eastAsia="Times New Roman" w:hAnsi="Aptos" w:cs="Times New Roman"/>
          <w:color w:val="000000"/>
          <w:kern w:val="0"/>
          <w14:ligatures w14:val="none"/>
        </w:rPr>
        <w:t>Secure, stable housing</w:t>
      </w:r>
    </w:p>
    <w:p w14:paraId="6B8D3FD8" w14:textId="1825BED6" w:rsidR="007913C4" w:rsidRPr="009A4A55" w:rsidRDefault="007913C4" w:rsidP="007913C4">
      <w:pPr>
        <w:pStyle w:val="p1"/>
        <w:rPr>
          <w:rFonts w:ascii="Aptos" w:hAnsi="Aptos"/>
        </w:rPr>
      </w:pPr>
      <w:r w:rsidRPr="00A1683B">
        <w:rPr>
          <w:rFonts w:ascii="Aptos" w:hAnsi="Aptos"/>
        </w:rPr>
        <w:t>Jordan clarified that, as Alex’s case manager, she would coordinate services and remove barriers, while his therapist would focus on counseling goals.</w:t>
      </w:r>
    </w:p>
    <w:p w14:paraId="1569B627" w14:textId="2B014A54" w:rsidR="007913C4" w:rsidRPr="009A4A55" w:rsidRDefault="00800DA0" w:rsidP="00800DA0">
      <w:pPr>
        <w:spacing w:before="100" w:beforeAutospacing="1" w:after="100" w:afterAutospacing="1" w:line="240" w:lineRule="auto"/>
        <w:rPr>
          <w:rFonts w:ascii="Aptos" w:eastAsia="Times New Roman" w:hAnsi="Aptos" w:cs="Times New Roman"/>
          <w:color w:val="000000"/>
          <w:kern w:val="0"/>
          <w14:ligatures w14:val="none"/>
        </w:rPr>
      </w:pPr>
      <w:r w:rsidRPr="009A4A55">
        <w:rPr>
          <w:rFonts w:ascii="Aptos" w:eastAsia="Times New Roman" w:hAnsi="Aptos" w:cs="Times New Roman"/>
          <w:b/>
          <w:bCs/>
          <w:color w:val="000000"/>
          <w:kern w:val="0"/>
          <w14:ligatures w14:val="none"/>
        </w:rPr>
        <w:t>Care Coordination</w:t>
      </w:r>
      <w:r w:rsidRPr="009A4A55">
        <w:rPr>
          <w:rFonts w:ascii="Aptos" w:eastAsia="Times New Roman" w:hAnsi="Aptos" w:cs="Times New Roman"/>
          <w:color w:val="000000"/>
          <w:kern w:val="0"/>
          <w14:ligatures w14:val="none"/>
        </w:rPr>
        <w:t> </w:t>
      </w:r>
    </w:p>
    <w:p w14:paraId="1318DAC3" w14:textId="316536EB" w:rsidR="00800DA0" w:rsidRPr="009A4A55" w:rsidRDefault="00800DA0" w:rsidP="00800DA0">
      <w:pPr>
        <w:spacing w:before="100" w:beforeAutospacing="1" w:after="100" w:afterAutospacing="1" w:line="240" w:lineRule="auto"/>
        <w:rPr>
          <w:rFonts w:ascii="Aptos" w:eastAsia="Times New Roman" w:hAnsi="Aptos" w:cs="Times New Roman"/>
          <w:color w:val="000000"/>
          <w:kern w:val="0"/>
          <w14:ligatures w14:val="none"/>
        </w:rPr>
      </w:pPr>
      <w:r w:rsidRPr="009A4A55">
        <w:rPr>
          <w:rFonts w:ascii="Aptos" w:eastAsia="Times New Roman" w:hAnsi="Aptos" w:cs="Times New Roman"/>
          <w:color w:val="000000"/>
          <w:kern w:val="0"/>
          <w14:ligatures w14:val="none"/>
        </w:rPr>
        <w:lastRenderedPageBreak/>
        <w:t xml:space="preserve">Jordan immediately began supporting and guiding Alex through the complex service system. After ensuring that Alex had signed proper releases to allow care coordination, she helped him schedule appointments and arrange transportation while completing necessary paperwork together. </w:t>
      </w:r>
    </w:p>
    <w:p w14:paraId="30C5301B" w14:textId="77777777" w:rsidR="00800DA0" w:rsidRPr="009A4A55" w:rsidRDefault="00800DA0" w:rsidP="00800DA0">
      <w:pPr>
        <w:spacing w:before="100" w:beforeAutospacing="1" w:after="100" w:afterAutospacing="1" w:line="240" w:lineRule="auto"/>
        <w:rPr>
          <w:rFonts w:ascii="Aptos" w:eastAsia="Times New Roman" w:hAnsi="Aptos" w:cs="Times New Roman"/>
          <w:color w:val="000000"/>
          <w:kern w:val="0"/>
          <w14:ligatures w14:val="none"/>
        </w:rPr>
      </w:pPr>
      <w:r w:rsidRPr="009A4A55">
        <w:rPr>
          <w:rFonts w:ascii="Aptos" w:eastAsia="Times New Roman" w:hAnsi="Aptos" w:cs="Times New Roman"/>
          <w:color w:val="000000"/>
          <w:kern w:val="0"/>
          <w14:ligatures w14:val="none"/>
        </w:rPr>
        <w:t xml:space="preserve">Drawing on her knowledge of community resources, Jordan arranged for a comprehensive medical evaluation at the free health clinic to address his urgent physical health needs, including the abscesses on his arms. She secured rapid intake at a methadone clinic and located transitional housing with an available bed. </w:t>
      </w:r>
    </w:p>
    <w:p w14:paraId="20B7BC6B" w14:textId="77777777" w:rsidR="00800DA0" w:rsidRPr="009A4A55" w:rsidRDefault="00800DA0" w:rsidP="00800DA0">
      <w:pPr>
        <w:spacing w:before="100" w:beforeAutospacing="1" w:after="100" w:afterAutospacing="1" w:line="240" w:lineRule="auto"/>
        <w:rPr>
          <w:rFonts w:ascii="Aptos" w:eastAsia="Times New Roman" w:hAnsi="Aptos" w:cs="Times New Roman"/>
          <w:color w:val="000000"/>
          <w:kern w:val="0"/>
          <w14:ligatures w14:val="none"/>
        </w:rPr>
      </w:pPr>
      <w:r w:rsidRPr="009A4A55">
        <w:rPr>
          <w:rFonts w:ascii="Aptos" w:eastAsia="Times New Roman" w:hAnsi="Aptos" w:cs="Times New Roman"/>
          <w:color w:val="000000"/>
          <w:kern w:val="0"/>
          <w14:ligatures w14:val="none"/>
        </w:rPr>
        <w:t xml:space="preserve">Understanding the importance of addressing Alex's underlying trauma and depression, Jordan connected him with a trauma-informed therapist who could provide specialized support. Additionally, she assisted Alex with his Medicaid application to ensure ongoing healthcare coverage and scheduled an appointment at the employment center to begin addressing his vocational goals. </w:t>
      </w:r>
    </w:p>
    <w:p w14:paraId="3611D814" w14:textId="17D3502E" w:rsidR="00800DA0" w:rsidRPr="009A4A55" w:rsidRDefault="00800DA0" w:rsidP="00800DA0">
      <w:pPr>
        <w:spacing w:before="100" w:beforeAutospacing="1" w:after="100" w:afterAutospacing="1" w:line="240" w:lineRule="auto"/>
        <w:rPr>
          <w:rFonts w:ascii="Aptos" w:eastAsia="Times New Roman" w:hAnsi="Aptos" w:cs="Times New Roman"/>
          <w:color w:val="000000"/>
          <w:kern w:val="0"/>
          <w14:ligatures w14:val="none"/>
        </w:rPr>
      </w:pPr>
      <w:r w:rsidRPr="009A4A55">
        <w:rPr>
          <w:rFonts w:ascii="Aptos" w:eastAsia="Times New Roman" w:hAnsi="Aptos" w:cs="Times New Roman"/>
          <w:color w:val="000000"/>
          <w:kern w:val="0"/>
          <w14:ligatures w14:val="none"/>
        </w:rPr>
        <w:t>Throughout this process, Jordan served as both guide and advocate, helping Alex navigate what could have been an overwhelming array of services and requirements.</w:t>
      </w:r>
    </w:p>
    <w:p w14:paraId="586E9EC4" w14:textId="77777777" w:rsidR="007913C4" w:rsidRPr="009A4A55" w:rsidRDefault="00800DA0" w:rsidP="00800DA0">
      <w:pPr>
        <w:spacing w:before="100" w:beforeAutospacing="1" w:after="100" w:afterAutospacing="1" w:line="240" w:lineRule="auto"/>
        <w:rPr>
          <w:rFonts w:ascii="Aptos" w:eastAsia="Times New Roman" w:hAnsi="Aptos" w:cs="Times New Roman"/>
          <w:color w:val="000000"/>
          <w:kern w:val="0"/>
          <w14:ligatures w14:val="none"/>
        </w:rPr>
      </w:pPr>
      <w:r w:rsidRPr="009A4A55">
        <w:rPr>
          <w:rFonts w:ascii="Aptos" w:eastAsia="Times New Roman" w:hAnsi="Aptos" w:cs="Times New Roman"/>
          <w:b/>
          <w:bCs/>
          <w:color w:val="000000"/>
          <w:kern w:val="0"/>
          <w14:ligatures w14:val="none"/>
        </w:rPr>
        <w:t>Ongoing Support</w:t>
      </w:r>
      <w:r w:rsidRPr="009A4A55">
        <w:rPr>
          <w:rFonts w:ascii="Aptos" w:eastAsia="Times New Roman" w:hAnsi="Aptos" w:cs="Times New Roman"/>
          <w:color w:val="000000"/>
          <w:kern w:val="0"/>
          <w14:ligatures w14:val="none"/>
        </w:rPr>
        <w:t> </w:t>
      </w:r>
    </w:p>
    <w:p w14:paraId="57A9545D" w14:textId="7567FD16" w:rsidR="00800DA0" w:rsidRPr="009A4A55" w:rsidRDefault="00800DA0" w:rsidP="00800DA0">
      <w:pPr>
        <w:spacing w:before="100" w:beforeAutospacing="1" w:after="100" w:afterAutospacing="1" w:line="240" w:lineRule="auto"/>
        <w:rPr>
          <w:rFonts w:ascii="Aptos" w:eastAsia="Times New Roman" w:hAnsi="Aptos" w:cs="Times New Roman"/>
          <w:color w:val="000000"/>
          <w:kern w:val="0"/>
          <w14:ligatures w14:val="none"/>
        </w:rPr>
      </w:pPr>
      <w:r w:rsidRPr="009A4A55">
        <w:rPr>
          <w:rFonts w:ascii="Aptos" w:eastAsia="Times New Roman" w:hAnsi="Aptos" w:cs="Times New Roman"/>
          <w:color w:val="000000"/>
          <w:kern w:val="0"/>
          <w14:ligatures w14:val="none"/>
        </w:rPr>
        <w:t xml:space="preserve">As Alex's advocate, Jordan met with him weekly—either in her office or in community settings—providing consistent support, encouragement, and </w:t>
      </w:r>
      <w:r w:rsidR="00E36C8D" w:rsidRPr="009A4A55">
        <w:rPr>
          <w:rFonts w:ascii="Aptos" w:eastAsia="Times New Roman" w:hAnsi="Aptos" w:cs="Times New Roman"/>
          <w:color w:val="000000"/>
          <w:kern w:val="0"/>
          <w14:ligatures w14:val="none"/>
        </w:rPr>
        <w:t xml:space="preserve">risk </w:t>
      </w:r>
      <w:r w:rsidRPr="009A4A55">
        <w:rPr>
          <w:rFonts w:ascii="Aptos" w:eastAsia="Times New Roman" w:hAnsi="Aptos" w:cs="Times New Roman"/>
          <w:color w:val="000000"/>
          <w:kern w:val="0"/>
          <w14:ligatures w14:val="none"/>
        </w:rPr>
        <w:t>reduction strategies. She monitored his progress across all referrals</w:t>
      </w:r>
      <w:r w:rsidR="003536BD">
        <w:rPr>
          <w:rFonts w:ascii="Aptos" w:eastAsia="Times New Roman" w:hAnsi="Aptos" w:cs="Times New Roman"/>
          <w:color w:val="000000"/>
          <w:kern w:val="0"/>
          <w14:ligatures w14:val="none"/>
        </w:rPr>
        <w:t xml:space="preserve"> and </w:t>
      </w:r>
      <w:r w:rsidRPr="009A4A55">
        <w:rPr>
          <w:rFonts w:ascii="Aptos" w:eastAsia="Times New Roman" w:hAnsi="Aptos" w:cs="Times New Roman"/>
          <w:color w:val="000000"/>
          <w:kern w:val="0"/>
          <w14:ligatures w14:val="none"/>
        </w:rPr>
        <w:t>participated in multidisciplinary team meetings</w:t>
      </w:r>
      <w:r w:rsidR="003536BD">
        <w:rPr>
          <w:rFonts w:ascii="Aptos" w:eastAsia="Times New Roman" w:hAnsi="Aptos" w:cs="Times New Roman"/>
          <w:color w:val="000000"/>
          <w:kern w:val="0"/>
          <w14:ligatures w14:val="none"/>
        </w:rPr>
        <w:t>. Jordan also</w:t>
      </w:r>
      <w:r w:rsidRPr="009A4A55">
        <w:rPr>
          <w:rFonts w:ascii="Aptos" w:eastAsia="Times New Roman" w:hAnsi="Aptos" w:cs="Times New Roman"/>
          <w:color w:val="000000"/>
          <w:kern w:val="0"/>
          <w14:ligatures w14:val="none"/>
        </w:rPr>
        <w:t xml:space="preserve"> helped him navigate systemic barriers through advocacy and stakeholder education.</w:t>
      </w:r>
    </w:p>
    <w:p w14:paraId="3A4CAFCE" w14:textId="77777777" w:rsidR="007913C4" w:rsidRPr="009A4A55" w:rsidRDefault="00800DA0" w:rsidP="00800DA0">
      <w:pPr>
        <w:spacing w:before="100" w:beforeAutospacing="1" w:after="100" w:afterAutospacing="1" w:line="240" w:lineRule="auto"/>
        <w:rPr>
          <w:rFonts w:ascii="Aptos" w:eastAsia="Times New Roman" w:hAnsi="Aptos" w:cs="Times New Roman"/>
          <w:color w:val="000000"/>
          <w:kern w:val="0"/>
          <w14:ligatures w14:val="none"/>
        </w:rPr>
      </w:pPr>
      <w:r w:rsidRPr="009A4A55">
        <w:rPr>
          <w:rFonts w:ascii="Aptos" w:eastAsia="Times New Roman" w:hAnsi="Aptos" w:cs="Times New Roman"/>
          <w:b/>
          <w:bCs/>
          <w:color w:val="000000"/>
          <w:kern w:val="0"/>
          <w14:ligatures w14:val="none"/>
        </w:rPr>
        <w:t>Outcomes</w:t>
      </w:r>
      <w:r w:rsidRPr="009A4A55">
        <w:rPr>
          <w:rFonts w:ascii="Aptos" w:eastAsia="Times New Roman" w:hAnsi="Aptos" w:cs="Times New Roman"/>
          <w:color w:val="000000"/>
          <w:kern w:val="0"/>
          <w14:ligatures w14:val="none"/>
        </w:rPr>
        <w:t> </w:t>
      </w:r>
    </w:p>
    <w:p w14:paraId="1616550C" w14:textId="26CDA557" w:rsidR="00800DA0" w:rsidRDefault="00800DA0" w:rsidP="0BC2EB94">
      <w:pPr>
        <w:pBdr>
          <w:bottom w:val="single" w:sz="12" w:space="1" w:color="000000"/>
        </w:pBdr>
        <w:spacing w:before="100" w:beforeAutospacing="1" w:after="100" w:afterAutospacing="1" w:line="240" w:lineRule="auto"/>
        <w:rPr>
          <w:rFonts w:ascii="Aptos" w:eastAsia="Times New Roman" w:hAnsi="Aptos" w:cs="Times New Roman"/>
          <w:color w:val="000000"/>
          <w:kern w:val="0"/>
          <w14:ligatures w14:val="none"/>
        </w:rPr>
      </w:pPr>
      <w:r w:rsidRPr="009A4A55">
        <w:rPr>
          <w:rFonts w:ascii="Aptos" w:eastAsia="Times New Roman" w:hAnsi="Aptos" w:cs="Times New Roman"/>
          <w:color w:val="000000"/>
          <w:kern w:val="0"/>
          <w14:ligatures w14:val="none"/>
        </w:rPr>
        <w:t>Nine months later, Alex had achieved remarkable progress. He maintained stability in his MAT program, secured employment, and lived in a recovery home. While he experienced challenges—including missed appointments and a relapse during week thirty-five (his mother's death anniversary)—the combination of Alex's determination and Jordan's professional case management approach enabled him to regroup and continue his recovery journey.</w:t>
      </w:r>
    </w:p>
    <w:p w14:paraId="6190B55F" w14:textId="6AAEB46B" w:rsidR="0BC2EB94" w:rsidRDefault="0BC2EB94" w:rsidP="0BC2EB94">
      <w:pPr>
        <w:pBdr>
          <w:bottom w:val="single" w:sz="12" w:space="1" w:color="000000"/>
        </w:pBdr>
        <w:spacing w:beforeAutospacing="1" w:afterAutospacing="1" w:line="240" w:lineRule="auto"/>
        <w:rPr>
          <w:rFonts w:ascii="Aptos" w:eastAsia="Times New Roman" w:hAnsi="Aptos" w:cs="Times New Roman"/>
          <w:color w:val="000000" w:themeColor="text1"/>
        </w:rPr>
      </w:pPr>
    </w:p>
    <w:p w14:paraId="2B2E2CAE" w14:textId="569DD952" w:rsidR="004C3875" w:rsidRDefault="004C3875" w:rsidP="00800DA0">
      <w:pPr>
        <w:spacing w:before="100" w:beforeAutospacing="1" w:after="100" w:afterAutospacing="1" w:line="240" w:lineRule="auto"/>
        <w:rPr>
          <w:rFonts w:ascii="Aptos" w:eastAsia="Times New Roman" w:hAnsi="Aptos" w:cs="Times New Roman"/>
          <w:b/>
          <w:bCs/>
          <w:color w:val="000000"/>
          <w:kern w:val="0"/>
          <w14:ligatures w14:val="none"/>
        </w:rPr>
      </w:pPr>
      <w:r w:rsidRPr="004C3875">
        <w:rPr>
          <w:rFonts w:ascii="Aptos" w:eastAsia="Times New Roman" w:hAnsi="Aptos" w:cs="Times New Roman"/>
          <w:b/>
          <w:bCs/>
          <w:color w:val="000000"/>
          <w:kern w:val="0"/>
          <w14:ligatures w14:val="none"/>
        </w:rPr>
        <w:t>Reflect &amp; Apply</w:t>
      </w:r>
    </w:p>
    <w:p w14:paraId="5CEB2942" w14:textId="77777777" w:rsidR="00330783" w:rsidRDefault="00330783" w:rsidP="00330783">
      <w:pPr>
        <w:pStyle w:val="ListParagraph"/>
        <w:numPr>
          <w:ilvl w:val="0"/>
          <w:numId w:val="8"/>
        </w:numPr>
        <w:spacing w:before="100" w:beforeAutospacing="1" w:after="100" w:afterAutospacing="1"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In Module 1, y</w:t>
      </w:r>
      <w:r w:rsidRPr="00330783">
        <w:rPr>
          <w:rFonts w:ascii="Aptos" w:eastAsia="Times New Roman" w:hAnsi="Aptos" w:cs="Times New Roman"/>
          <w:color w:val="000000"/>
          <w:kern w:val="0"/>
          <w14:ligatures w14:val="none"/>
        </w:rPr>
        <w:t xml:space="preserve">ou learned that assessment involves gathering information to understand the whole person. Jordan chose to set aside the intake forms initially, </w:t>
      </w:r>
      <w:r w:rsidRPr="00330783">
        <w:rPr>
          <w:rFonts w:ascii="Aptos" w:eastAsia="Times New Roman" w:hAnsi="Aptos" w:cs="Times New Roman"/>
          <w:color w:val="000000"/>
          <w:kern w:val="0"/>
          <w14:ligatures w14:val="none"/>
        </w:rPr>
        <w:lastRenderedPageBreak/>
        <w:t xml:space="preserve">inviting Alex to share his story before conducting the formal biopsychosocial assessment. </w:t>
      </w:r>
    </w:p>
    <w:p w14:paraId="38D3AC94" w14:textId="77777777" w:rsidR="00330783" w:rsidRDefault="00330783" w:rsidP="00330783">
      <w:pPr>
        <w:pStyle w:val="ListParagraph"/>
        <w:numPr>
          <w:ilvl w:val="1"/>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 xml:space="preserve">How did this sequencing help prevent Alex from feeling overwhelmed? </w:t>
      </w:r>
    </w:p>
    <w:p w14:paraId="6B0E6F75" w14:textId="19A3B7ED" w:rsidR="00330783" w:rsidRDefault="00330783" w:rsidP="00330783">
      <w:pPr>
        <w:pStyle w:val="ListParagraph"/>
        <w:numPr>
          <w:ilvl w:val="1"/>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What does this teach us about balancing comprehensive assessment with client engagement?</w:t>
      </w:r>
    </w:p>
    <w:p w14:paraId="39137CE9" w14:textId="77777777" w:rsidR="00330783" w:rsidRDefault="00330783" w:rsidP="0093429E">
      <w:pPr>
        <w:pStyle w:val="ListParagraph"/>
        <w:numPr>
          <w:ilvl w:val="0"/>
          <w:numId w:val="8"/>
        </w:numPr>
        <w:spacing w:before="240"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 xml:space="preserve">Remember that effective goals must be realistic, achievable, and meaningful to the client. Alex stated four broad goals: 'stop using, take care of my health, find a job, and get an apartment.' Jordan translated these into actionable service objectives, including transitional housing rather than immediate apartment rental. </w:t>
      </w:r>
    </w:p>
    <w:p w14:paraId="4A69CB35" w14:textId="7E11BB99" w:rsidR="00330783" w:rsidRDefault="00330783" w:rsidP="3EF260D5">
      <w:pPr>
        <w:pStyle w:val="ListParagraph"/>
        <w:numPr>
          <w:ilvl w:val="1"/>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 xml:space="preserve">Which other goals might need </w:t>
      </w:r>
      <w:r w:rsidR="6D8A8522" w:rsidRPr="00330783">
        <w:rPr>
          <w:rFonts w:ascii="Aptos" w:eastAsia="Times New Roman" w:hAnsi="Aptos" w:cs="Times New Roman"/>
          <w:color w:val="000000"/>
          <w:kern w:val="0"/>
          <w14:ligatures w14:val="none"/>
        </w:rPr>
        <w:t xml:space="preserve">a </w:t>
      </w:r>
      <w:r w:rsidRPr="00330783">
        <w:rPr>
          <w:rFonts w:ascii="Aptos" w:eastAsia="Times New Roman" w:hAnsi="Aptos" w:cs="Times New Roman"/>
          <w:color w:val="000000"/>
          <w:kern w:val="0"/>
          <w14:ligatures w14:val="none"/>
        </w:rPr>
        <w:t xml:space="preserve">similar </w:t>
      </w:r>
      <w:r w:rsidR="4D927DE5" w:rsidRPr="00330783">
        <w:rPr>
          <w:rFonts w:ascii="Aptos" w:eastAsia="Times New Roman" w:hAnsi="Aptos" w:cs="Times New Roman"/>
          <w:color w:val="000000"/>
          <w:kern w:val="0"/>
          <w14:ligatures w14:val="none"/>
        </w:rPr>
        <w:t>approach</w:t>
      </w:r>
      <w:r w:rsidRPr="00330783">
        <w:rPr>
          <w:rFonts w:ascii="Aptos" w:eastAsia="Times New Roman" w:hAnsi="Aptos" w:cs="Times New Roman"/>
          <w:color w:val="000000"/>
          <w:kern w:val="0"/>
          <w14:ligatures w14:val="none"/>
        </w:rPr>
        <w:t xml:space="preserve">? </w:t>
      </w:r>
    </w:p>
    <w:p w14:paraId="082D0816" w14:textId="3BABD727" w:rsidR="00330783" w:rsidRDefault="00330783" w:rsidP="00330783">
      <w:pPr>
        <w:pStyle w:val="ListParagraph"/>
        <w:numPr>
          <w:ilvl w:val="1"/>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How does collaborative planning maintain the client's vision while ensuring achievability?</w:t>
      </w:r>
    </w:p>
    <w:p w14:paraId="189EDBBF" w14:textId="77777777" w:rsidR="00330783" w:rsidRDefault="00330783" w:rsidP="00330783">
      <w:pPr>
        <w:pStyle w:val="ListParagraph"/>
        <w:numPr>
          <w:ilvl w:val="0"/>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 xml:space="preserve">The </w:t>
      </w:r>
      <w:r>
        <w:rPr>
          <w:rFonts w:ascii="Aptos" w:eastAsia="Times New Roman" w:hAnsi="Aptos" w:cs="Times New Roman"/>
          <w:color w:val="000000"/>
          <w:kern w:val="0"/>
          <w14:ligatures w14:val="none"/>
        </w:rPr>
        <w:t>module</w:t>
      </w:r>
      <w:r w:rsidRPr="00330783">
        <w:rPr>
          <w:rFonts w:ascii="Aptos" w:eastAsia="Times New Roman" w:hAnsi="Aptos" w:cs="Times New Roman"/>
          <w:color w:val="000000"/>
          <w:kern w:val="0"/>
          <w14:ligatures w14:val="none"/>
        </w:rPr>
        <w:t xml:space="preserve"> emphasized that effective linking requires understanding community resources, eligibility requirements, and barriers to access. Jordan needed to connect Alex to MAT services quickly. </w:t>
      </w:r>
    </w:p>
    <w:p w14:paraId="1E919844" w14:textId="77777777" w:rsidR="00330783" w:rsidRDefault="00330783" w:rsidP="00330783">
      <w:pPr>
        <w:pStyle w:val="ListParagraph"/>
        <w:numPr>
          <w:ilvl w:val="1"/>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 xml:space="preserve">What criteria should she have considered when selecting among available methadone providers? </w:t>
      </w:r>
    </w:p>
    <w:p w14:paraId="11B61863" w14:textId="2160EDDA" w:rsidR="00330783" w:rsidRDefault="00330783" w:rsidP="00330783">
      <w:pPr>
        <w:pStyle w:val="ListParagraph"/>
        <w:numPr>
          <w:ilvl w:val="1"/>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How would these considerations differ from simply choosing the closest clinic?</w:t>
      </w:r>
    </w:p>
    <w:p w14:paraId="6BD3EB93" w14:textId="6B0714AD" w:rsidR="00330783" w:rsidRDefault="00330783" w:rsidP="3EF260D5">
      <w:pPr>
        <w:pStyle w:val="ListParagraph"/>
        <w:numPr>
          <w:ilvl w:val="0"/>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As covered earlier, monitoring helps identify when adjustments are needed before problems escalate. Jordan learned during assessment that Alex's substance use began after his mother's death, yet he relapsed during week 35</w:t>
      </w:r>
      <w:r w:rsidR="7FAF50E1" w:rsidRPr="00330783">
        <w:rPr>
          <w:rFonts w:ascii="Aptos" w:eastAsia="Times New Roman" w:hAnsi="Aptos" w:cs="Times New Roman"/>
          <w:color w:val="000000"/>
          <w:kern w:val="0"/>
          <w14:ligatures w14:val="none"/>
        </w:rPr>
        <w:t xml:space="preserve">, </w:t>
      </w:r>
      <w:r w:rsidRPr="00330783">
        <w:rPr>
          <w:rFonts w:ascii="Aptos" w:eastAsia="Times New Roman" w:hAnsi="Aptos" w:cs="Times New Roman"/>
          <w:color w:val="000000"/>
          <w:kern w:val="0"/>
          <w14:ligatures w14:val="none"/>
        </w:rPr>
        <w:t xml:space="preserve">the anniversary of her death. </w:t>
      </w:r>
    </w:p>
    <w:p w14:paraId="1D59D397" w14:textId="77777777" w:rsidR="00330783" w:rsidRDefault="00330783" w:rsidP="00330783">
      <w:pPr>
        <w:pStyle w:val="ListParagraph"/>
        <w:numPr>
          <w:ilvl w:val="1"/>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 xml:space="preserve">What preventive monitoring strategies could Jordan have implemented as this date approached? </w:t>
      </w:r>
    </w:p>
    <w:p w14:paraId="425F6D5C" w14:textId="3C016A5A" w:rsidR="00330783" w:rsidRDefault="00330783" w:rsidP="00330783">
      <w:pPr>
        <w:pStyle w:val="ListParagraph"/>
        <w:numPr>
          <w:ilvl w:val="1"/>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How does this challenge us to use assessment data proactively throughout the case management process?</w:t>
      </w:r>
    </w:p>
    <w:p w14:paraId="1A875E20" w14:textId="77777777" w:rsidR="00330783" w:rsidRDefault="00330783" w:rsidP="00330783">
      <w:pPr>
        <w:pStyle w:val="ListParagraph"/>
        <w:numPr>
          <w:ilvl w:val="0"/>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 xml:space="preserve">Recall how advocacy means removing barriers while promoting client interests. The case describes Jordan helping Alex navigate systems and complete paperwork 'together.' </w:t>
      </w:r>
    </w:p>
    <w:p w14:paraId="73F11A34" w14:textId="77777777" w:rsidR="00330783" w:rsidRDefault="00330783" w:rsidP="00330783">
      <w:pPr>
        <w:pStyle w:val="ListParagraph"/>
        <w:numPr>
          <w:ilvl w:val="1"/>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 xml:space="preserve">How did Jordan's approach to advocacy build Alex's capacity rather than create dependence? </w:t>
      </w:r>
    </w:p>
    <w:p w14:paraId="034C68A9" w14:textId="5632BFB3" w:rsidR="00330783" w:rsidRDefault="00330783" w:rsidP="0BC2EB94">
      <w:pPr>
        <w:pStyle w:val="ListParagraph"/>
        <w:numPr>
          <w:ilvl w:val="1"/>
          <w:numId w:val="8"/>
        </w:numPr>
        <w:spacing w:before="100" w:beforeAutospacing="1" w:after="100" w:afterAutospacing="1" w:line="240" w:lineRule="auto"/>
        <w:rPr>
          <w:rFonts w:ascii="Aptos" w:eastAsia="Times New Roman" w:hAnsi="Aptos" w:cs="Times New Roman"/>
          <w:color w:val="000000"/>
          <w:kern w:val="0"/>
          <w14:ligatures w14:val="none"/>
        </w:rPr>
      </w:pPr>
      <w:r w:rsidRPr="00330783">
        <w:rPr>
          <w:rFonts w:ascii="Aptos" w:eastAsia="Times New Roman" w:hAnsi="Aptos" w:cs="Times New Roman"/>
          <w:color w:val="000000"/>
          <w:kern w:val="0"/>
          <w14:ligatures w14:val="none"/>
        </w:rPr>
        <w:t>What specific strategies show the balance between supporting and empowering?</w:t>
      </w:r>
    </w:p>
    <w:p w14:paraId="440FC548" w14:textId="1FBA5808" w:rsidR="0BC2EB94" w:rsidRDefault="0BC2EB94" w:rsidP="0BC2EB94">
      <w:pPr>
        <w:pBdr>
          <w:bottom w:val="single" w:sz="12" w:space="1" w:color="000000"/>
        </w:pBdr>
        <w:spacing w:beforeAutospacing="1" w:afterAutospacing="1" w:line="240" w:lineRule="auto"/>
        <w:rPr>
          <w:rFonts w:ascii="Aptos" w:eastAsia="Times New Roman" w:hAnsi="Aptos" w:cs="Times New Roman"/>
          <w:color w:val="000000" w:themeColor="text1"/>
        </w:rPr>
      </w:pPr>
    </w:p>
    <w:p w14:paraId="0469F915" w14:textId="17B8F3C0" w:rsidR="66E8AFE2" w:rsidRDefault="66E8AFE2" w:rsidP="75D995AA">
      <w:pPr>
        <w:spacing w:before="240" w:after="240"/>
        <w:rPr>
          <w:b/>
          <w:bCs/>
        </w:rPr>
      </w:pPr>
      <w:r w:rsidRPr="75D995AA">
        <w:rPr>
          <w:b/>
          <w:bCs/>
        </w:rPr>
        <w:t>How Did You Do? Sample Responses for Alex's Case</w:t>
      </w:r>
    </w:p>
    <w:p w14:paraId="70ACEFE4" w14:textId="4C27827B" w:rsidR="66E8AFE2" w:rsidRDefault="66E8AFE2" w:rsidP="75D995AA">
      <w:pPr>
        <w:spacing w:before="240" w:after="240"/>
        <w:rPr>
          <w:b/>
          <w:bCs/>
        </w:rPr>
      </w:pPr>
      <w:r w:rsidRPr="75D995AA">
        <w:rPr>
          <w:rFonts w:ascii="Aptos" w:eastAsia="Aptos" w:hAnsi="Aptos" w:cs="Aptos"/>
          <w:i/>
          <w:iCs/>
          <w:color w:val="000000" w:themeColor="text1"/>
        </w:rPr>
        <w:t>These sample responses demonstrate how to connect case management concepts to real practice situations. Your answers may differ based on your experience and setting - the goal is to show clear understanding of the concepts and thoughtful application to the case.</w:t>
      </w:r>
      <w:r w:rsidR="7000820B" w:rsidRPr="75D995AA">
        <w:rPr>
          <w:rFonts w:ascii="Aptos" w:eastAsia="Aptos" w:hAnsi="Aptos" w:cs="Aptos"/>
          <w:i/>
          <w:iCs/>
          <w:color w:val="000000" w:themeColor="text1"/>
        </w:rPr>
        <w:t xml:space="preserve"> </w:t>
      </w:r>
      <w:r w:rsidRPr="75D995AA">
        <w:rPr>
          <w:rFonts w:ascii="Aptos" w:eastAsia="Aptos" w:hAnsi="Aptos" w:cs="Aptos"/>
          <w:i/>
          <w:iCs/>
          <w:color w:val="000000" w:themeColor="text1"/>
        </w:rPr>
        <w:lastRenderedPageBreak/>
        <w:t>Note: Strong responses will reference specific details from both the case study and Module 1 concepts.</w:t>
      </w:r>
    </w:p>
    <w:p w14:paraId="2BFA3763" w14:textId="7A993B65" w:rsidR="66E8AFE2" w:rsidRDefault="66E8AFE2" w:rsidP="0BC2EB94">
      <w:pPr>
        <w:rPr>
          <w:b/>
          <w:bCs/>
        </w:rPr>
      </w:pPr>
      <w:r w:rsidRPr="0BC2EB94">
        <w:rPr>
          <w:b/>
          <w:bCs/>
        </w:rPr>
        <w:t>1. Sample Response</w:t>
      </w:r>
    </w:p>
    <w:p w14:paraId="36F478F5" w14:textId="3BACC0CD" w:rsidR="66E8AFE2" w:rsidRDefault="66E8AFE2" w:rsidP="0BC2EB94">
      <w:pPr>
        <w:spacing w:before="240" w:after="240"/>
      </w:pPr>
      <w:r w:rsidRPr="0BC2EB94">
        <w:rPr>
          <w:rFonts w:ascii="Aptos" w:eastAsia="Aptos" w:hAnsi="Aptos" w:cs="Aptos"/>
          <w:color w:val="000000" w:themeColor="text1"/>
        </w:rPr>
        <w:t>Jordan's approach prevented overwhelm by establishing rapport and psychological safety before gathering detailed information. By inviting Alex to "share his story" first, she allowed him to present his experiences in his own words and at his own pace. This was particularly important for someone who had just overdosed and was entering services at a vulnerable moment. The narrative approach gave Alex control over his initial disclosure while Jordan demonstrated "active listening through her full attention and nonjudgmental responses."</w:t>
      </w:r>
    </w:p>
    <w:p w14:paraId="02D38C8A" w14:textId="651DD03C" w:rsidR="66E8AFE2" w:rsidRDefault="66E8AFE2" w:rsidP="0BC2EB94">
      <w:pPr>
        <w:spacing w:before="240" w:after="240"/>
      </w:pPr>
      <w:r w:rsidRPr="0BC2EB94">
        <w:rPr>
          <w:rFonts w:ascii="Aptos" w:eastAsia="Aptos" w:hAnsi="Aptos" w:cs="Aptos"/>
          <w:color w:val="000000" w:themeColor="text1"/>
        </w:rPr>
        <w:t>This sequencing teaches us that comprehensive assessment can coexist with client engagement when trust is established first. Module 1 emphasized understanding "the whole individual" - Jordan gathered rich contextual information through conversation before conducting the formal biopsychosocial assessment. This approach likely improved both the accuracy of the assessment and Alex's willingness to engage with services. The initial conversation built the therapeutic relationship that would sustain their work together over the following nine months.</w:t>
      </w:r>
    </w:p>
    <w:p w14:paraId="32C8734F" w14:textId="394E958A" w:rsidR="66E8AFE2" w:rsidRDefault="66E8AFE2" w:rsidP="0BC2EB94">
      <w:pPr>
        <w:spacing w:before="240" w:after="240"/>
      </w:pPr>
      <w:r w:rsidRPr="0BC2EB94">
        <w:rPr>
          <w:rFonts w:ascii="Aptos" w:eastAsia="Aptos" w:hAnsi="Aptos" w:cs="Aptos"/>
          <w:b/>
          <w:bCs/>
          <w:color w:val="000000" w:themeColor="text1"/>
        </w:rPr>
        <w:t>Key Takeaway:</w:t>
      </w:r>
      <w:r w:rsidRPr="0BC2EB94">
        <w:rPr>
          <w:rFonts w:ascii="Aptos" w:eastAsia="Aptos" w:hAnsi="Aptos" w:cs="Aptos"/>
          <w:color w:val="000000" w:themeColor="text1"/>
        </w:rPr>
        <w:t xml:space="preserve"> Effective assessment balances information gathering with relationship building by prioritizing trust and engagement.</w:t>
      </w:r>
    </w:p>
    <w:p w14:paraId="271B4011" w14:textId="57D7B528" w:rsidR="66E8AFE2" w:rsidRDefault="66E8AFE2" w:rsidP="0BC2EB94">
      <w:pPr>
        <w:rPr>
          <w:b/>
          <w:bCs/>
        </w:rPr>
      </w:pPr>
      <w:r w:rsidRPr="0BC2EB94">
        <w:rPr>
          <w:b/>
          <w:bCs/>
        </w:rPr>
        <w:t>2. Sample Response</w:t>
      </w:r>
    </w:p>
    <w:p w14:paraId="2D385507" w14:textId="6300A487" w:rsidR="66E8AFE2" w:rsidRDefault="66E8AFE2" w:rsidP="0BC2EB94">
      <w:pPr>
        <w:spacing w:before="240" w:after="240"/>
      </w:pPr>
      <w:r w:rsidRPr="0BC2EB94">
        <w:rPr>
          <w:rFonts w:ascii="Aptos" w:eastAsia="Aptos" w:hAnsi="Aptos" w:cs="Aptos"/>
          <w:color w:val="000000" w:themeColor="text1"/>
        </w:rPr>
        <w:t xml:space="preserve">Alex's goal to "get an apartment" represented his vision for stable housing, though the path from homelessness to independent living required intermediate steps. Jordan translated this into "secure, stable housing" beginning with transitional housing - an achievable objective that still honored his </w:t>
      </w:r>
      <w:proofErr w:type="gramStart"/>
      <w:r w:rsidRPr="0BC2EB94">
        <w:rPr>
          <w:rFonts w:ascii="Aptos" w:eastAsia="Aptos" w:hAnsi="Aptos" w:cs="Aptos"/>
          <w:color w:val="000000" w:themeColor="text1"/>
        </w:rPr>
        <w:t>ultimate goal</w:t>
      </w:r>
      <w:proofErr w:type="gramEnd"/>
      <w:r w:rsidRPr="0BC2EB94">
        <w:rPr>
          <w:rFonts w:ascii="Aptos" w:eastAsia="Aptos" w:hAnsi="Aptos" w:cs="Aptos"/>
          <w:color w:val="000000" w:themeColor="text1"/>
        </w:rPr>
        <w:t>. Similarly, "find a job" became "employment and vocational assistance," recognizing that job readiness and skill development would precede actual employment given his current circumstances and health needs.</w:t>
      </w:r>
    </w:p>
    <w:p w14:paraId="092668D7" w14:textId="181F69FA" w:rsidR="66E8AFE2" w:rsidRDefault="66E8AFE2" w:rsidP="0BC2EB94">
      <w:pPr>
        <w:spacing w:before="240" w:after="240"/>
      </w:pPr>
      <w:r w:rsidRPr="0BC2EB94">
        <w:rPr>
          <w:rFonts w:ascii="Aptos" w:eastAsia="Aptos" w:hAnsi="Aptos" w:cs="Aptos"/>
          <w:color w:val="000000" w:themeColor="text1"/>
        </w:rPr>
        <w:t>The goal to "stop using" appropriately translated to MAT combined with counseling, providing both medical and psychological support. "Take care of my health" expanded to include medical evaluation, treatment for abscesses, and trauma-informed therapy for depression. Collaborative planning maintains the client's vision by keeping their stated goals as the destination while mapping out the realistic steps needed to reach them. Jordan preserved Alex's autonomy by working from his goals rather than imposing predetermined treatment objectives.</w:t>
      </w:r>
    </w:p>
    <w:p w14:paraId="30676B31" w14:textId="455E1597" w:rsidR="66E8AFE2" w:rsidRDefault="66E8AFE2" w:rsidP="0BC2EB94">
      <w:pPr>
        <w:spacing w:before="240" w:after="240"/>
      </w:pPr>
      <w:r w:rsidRPr="0BC2EB94">
        <w:rPr>
          <w:rFonts w:ascii="Aptos" w:eastAsia="Aptos" w:hAnsi="Aptos" w:cs="Aptos"/>
          <w:b/>
          <w:bCs/>
          <w:color w:val="000000" w:themeColor="text1"/>
        </w:rPr>
        <w:lastRenderedPageBreak/>
        <w:t>Key Takeaway:</w:t>
      </w:r>
      <w:r w:rsidRPr="0BC2EB94">
        <w:rPr>
          <w:rFonts w:ascii="Aptos" w:eastAsia="Aptos" w:hAnsi="Aptos" w:cs="Aptos"/>
          <w:color w:val="000000" w:themeColor="text1"/>
        </w:rPr>
        <w:t xml:space="preserve"> Collaborative planning respects client self-determination while creating achievable pathways toward their larger goals.</w:t>
      </w:r>
    </w:p>
    <w:p w14:paraId="37381AE1" w14:textId="033EF3FF" w:rsidR="66E8AFE2" w:rsidRDefault="66E8AFE2" w:rsidP="0BC2EB94">
      <w:pPr>
        <w:rPr>
          <w:b/>
          <w:bCs/>
        </w:rPr>
      </w:pPr>
      <w:r w:rsidRPr="0BC2EB94">
        <w:rPr>
          <w:b/>
          <w:bCs/>
        </w:rPr>
        <w:t>3. Sample Response</w:t>
      </w:r>
    </w:p>
    <w:p w14:paraId="2474AB24" w14:textId="38714270" w:rsidR="66E8AFE2" w:rsidRDefault="66E8AFE2" w:rsidP="0BC2EB94">
      <w:pPr>
        <w:spacing w:before="240" w:after="240"/>
      </w:pPr>
      <w:r w:rsidRPr="0BC2EB94">
        <w:rPr>
          <w:rFonts w:ascii="Aptos" w:eastAsia="Aptos" w:hAnsi="Aptos" w:cs="Aptos"/>
          <w:color w:val="000000" w:themeColor="text1"/>
        </w:rPr>
        <w:t>When selecting among methadone providers, Jordan should have considered accessibility given Alex's transportation limitations and unstable housing. The case notes Jordan "secured rapid intake," indicating she prioritized immediate availability - essential for someone post-overdose when readiness for treatment is time-sensitive. Financial accessibility through Medicaid acceptance would determine feasibility, as would the clinic's policies regarding missed appointments given Alex's unstable life circumstances.</w:t>
      </w:r>
    </w:p>
    <w:p w14:paraId="72F79ABF" w14:textId="2A887A35" w:rsidR="66E8AFE2" w:rsidRDefault="66E8AFE2" w:rsidP="0BC2EB94">
      <w:pPr>
        <w:spacing w:before="240" w:after="240"/>
      </w:pPr>
      <w:r w:rsidRPr="0BC2EB94">
        <w:rPr>
          <w:rFonts w:ascii="Aptos" w:eastAsia="Aptos" w:hAnsi="Aptos" w:cs="Aptos"/>
          <w:color w:val="000000" w:themeColor="text1"/>
        </w:rPr>
        <w:t>Clinical considerations would include whether the provider offered integrated services for Alex's co-occurring depression, the availability of wraparound supports, and the clinic's treatment philosophy regarding relapse and recovery. These factors differ from geographic proximity because the nearest clinic might have month-long waiting lists, restrictive policies, or lack integrated mental health services. Module 1 emphasized that effective linking requires understanding "eligibility requirements" and helping "individuals overcome barriers" - this means matching services to individual needs and circumstances, not just identifying available resources.</w:t>
      </w:r>
    </w:p>
    <w:p w14:paraId="3B261674" w14:textId="78DB5FDD" w:rsidR="66E8AFE2" w:rsidRDefault="66E8AFE2" w:rsidP="0BC2EB94">
      <w:pPr>
        <w:spacing w:before="240" w:after="240"/>
      </w:pPr>
      <w:r w:rsidRPr="0BC2EB94">
        <w:rPr>
          <w:rFonts w:ascii="Aptos" w:eastAsia="Aptos" w:hAnsi="Aptos" w:cs="Aptos"/>
          <w:b/>
          <w:bCs/>
          <w:color w:val="000000" w:themeColor="text1"/>
        </w:rPr>
        <w:t>Key Takeaway:</w:t>
      </w:r>
      <w:r w:rsidRPr="0BC2EB94">
        <w:rPr>
          <w:rFonts w:ascii="Aptos" w:eastAsia="Aptos" w:hAnsi="Aptos" w:cs="Aptos"/>
          <w:color w:val="000000" w:themeColor="text1"/>
        </w:rPr>
        <w:t xml:space="preserve"> Effective linking matches service characteristics to individual needs and circumstances beyond simple geographic accessibility.</w:t>
      </w:r>
    </w:p>
    <w:p w14:paraId="1BBDF898" w14:textId="3FB382E5" w:rsidR="66E8AFE2" w:rsidRDefault="66E8AFE2" w:rsidP="0BC2EB94">
      <w:pPr>
        <w:rPr>
          <w:b/>
          <w:bCs/>
        </w:rPr>
      </w:pPr>
      <w:r w:rsidRPr="0BC2EB94">
        <w:rPr>
          <w:b/>
          <w:bCs/>
        </w:rPr>
        <w:t>4. Sample Response</w:t>
      </w:r>
    </w:p>
    <w:p w14:paraId="51C8730F" w14:textId="5318D104" w:rsidR="66E8AFE2" w:rsidRDefault="66E8AFE2" w:rsidP="0BC2EB94">
      <w:pPr>
        <w:spacing w:before="240" w:after="240"/>
      </w:pPr>
      <w:r w:rsidRPr="0BC2EB94">
        <w:rPr>
          <w:rFonts w:ascii="Aptos" w:eastAsia="Aptos" w:hAnsi="Aptos" w:cs="Aptos"/>
          <w:color w:val="000000" w:themeColor="text1"/>
        </w:rPr>
        <w:t xml:space="preserve">Given Alex's explicit disclosure that his "substance use began after his mother's death," Jordan could have identified the death anniversary as a predictable high-risk period. Preventive strategies might have included increased contact frequency around the anniversary date, coordination with his trauma-informed therapist to process anticipatory grief, development of a specific coping plan for the anniversary </w:t>
      </w:r>
      <w:proofErr w:type="gramStart"/>
      <w:r w:rsidRPr="0BC2EB94">
        <w:rPr>
          <w:rFonts w:ascii="Aptos" w:eastAsia="Aptos" w:hAnsi="Aptos" w:cs="Aptos"/>
          <w:color w:val="000000" w:themeColor="text1"/>
        </w:rPr>
        <w:t>period, and</w:t>
      </w:r>
      <w:proofErr w:type="gramEnd"/>
      <w:r w:rsidRPr="0BC2EB94">
        <w:rPr>
          <w:rFonts w:ascii="Aptos" w:eastAsia="Aptos" w:hAnsi="Aptos" w:cs="Aptos"/>
          <w:color w:val="000000" w:themeColor="text1"/>
        </w:rPr>
        <w:t xml:space="preserve"> potentially arranging additional peer support or group participation during this vulnerable time.</w:t>
      </w:r>
    </w:p>
    <w:p w14:paraId="2128673B" w14:textId="0C4B08AF" w:rsidR="66E8AFE2" w:rsidRDefault="66E8AFE2" w:rsidP="0BC2EB94">
      <w:pPr>
        <w:spacing w:before="240" w:after="240"/>
      </w:pPr>
      <w:r w:rsidRPr="0BC2EB94">
        <w:rPr>
          <w:rFonts w:ascii="Aptos" w:eastAsia="Aptos" w:hAnsi="Aptos" w:cs="Aptos"/>
          <w:color w:val="000000" w:themeColor="text1"/>
        </w:rPr>
        <w:t xml:space="preserve">This situation demonstrates how assessment data should inform ongoing monitoring strategies. Module 1 described monitoring as identifying "when adjustments are needed" and "when new barriers arise." Anniversary reactions are predictable rather than unexpected events. Using assessment information proactively means anticipating challenges based on client history and implementing supports before crises occur. While </w:t>
      </w:r>
      <w:r w:rsidRPr="0BC2EB94">
        <w:rPr>
          <w:rFonts w:ascii="Aptos" w:eastAsia="Aptos" w:hAnsi="Aptos" w:cs="Aptos"/>
          <w:color w:val="000000" w:themeColor="text1"/>
        </w:rPr>
        <w:lastRenderedPageBreak/>
        <w:t>Alex successfully "regrouped" after his relapse, preventive monitoring might have provided additional support during a predictably difficult period.</w:t>
      </w:r>
    </w:p>
    <w:p w14:paraId="59A5A1D1" w14:textId="4EBEDE4F" w:rsidR="66E8AFE2" w:rsidRDefault="66E8AFE2" w:rsidP="0BC2EB94">
      <w:pPr>
        <w:spacing w:before="240" w:after="240"/>
      </w:pPr>
      <w:r w:rsidRPr="0BC2EB94">
        <w:rPr>
          <w:rFonts w:ascii="Aptos" w:eastAsia="Aptos" w:hAnsi="Aptos" w:cs="Aptos"/>
          <w:b/>
          <w:bCs/>
          <w:color w:val="000000" w:themeColor="text1"/>
        </w:rPr>
        <w:t>Key Takeaway:</w:t>
      </w:r>
      <w:r w:rsidRPr="0BC2EB94">
        <w:rPr>
          <w:rFonts w:ascii="Aptos" w:eastAsia="Aptos" w:hAnsi="Aptos" w:cs="Aptos"/>
          <w:color w:val="000000" w:themeColor="text1"/>
        </w:rPr>
        <w:t xml:space="preserve"> Proactive monitoring uses assessment data to anticipate and prepare for predictable challenges in the recovery journey.</w:t>
      </w:r>
    </w:p>
    <w:p w14:paraId="42FF71E4" w14:textId="23DAE38C" w:rsidR="66E8AFE2" w:rsidRDefault="66E8AFE2" w:rsidP="0BC2EB94">
      <w:pPr>
        <w:rPr>
          <w:b/>
          <w:bCs/>
        </w:rPr>
      </w:pPr>
      <w:r w:rsidRPr="0BC2EB94">
        <w:rPr>
          <w:b/>
          <w:bCs/>
        </w:rPr>
        <w:t>5. Sample Response</w:t>
      </w:r>
    </w:p>
    <w:p w14:paraId="06A0A55E" w14:textId="1BEDF54F" w:rsidR="66E8AFE2" w:rsidRDefault="66E8AFE2" w:rsidP="0BC2EB94">
      <w:pPr>
        <w:spacing w:before="240" w:after="240"/>
      </w:pPr>
      <w:r w:rsidRPr="0BC2EB94">
        <w:rPr>
          <w:rFonts w:ascii="Aptos" w:eastAsia="Aptos" w:hAnsi="Aptos" w:cs="Aptos"/>
          <w:color w:val="000000" w:themeColor="text1"/>
        </w:rPr>
        <w:t>Jordan's approach of completing paperwork "together" and helping Alex "schedule appointments and arrange transportation" demonstrates supported learning rather than substitution. By participating with Alex rather than completing tasks independently, she taught him system navigation skills while ensuring immediate needs were met. This collaborative method provided scaffolding that could gradually be reduced as Alex gained confidence and competence. The case's outcome - Alex "secured employment" and "lived in a recovery home" by nine months - suggests he developed independent functioning skills.</w:t>
      </w:r>
    </w:p>
    <w:p w14:paraId="4A575366" w14:textId="606A4685" w:rsidR="66E8AFE2" w:rsidRDefault="66E8AFE2" w:rsidP="0BC2EB94">
      <w:pPr>
        <w:spacing w:before="240" w:after="240"/>
      </w:pPr>
      <w:r w:rsidRPr="0BC2EB94">
        <w:rPr>
          <w:rFonts w:ascii="Aptos" w:eastAsia="Aptos" w:hAnsi="Aptos" w:cs="Aptos"/>
          <w:color w:val="000000" w:themeColor="text1"/>
        </w:rPr>
        <w:t xml:space="preserve">The balance between supporting and empowering appears in Jordan's dual role as "guide and advocate." She provided weekly meetings in both office and "community settings," suggesting she helped Alex practice skills in real-world contexts while maintaining support. Her </w:t>
      </w:r>
      <w:proofErr w:type="gramStart"/>
      <w:r w:rsidRPr="0BC2EB94">
        <w:rPr>
          <w:rFonts w:ascii="Aptos" w:eastAsia="Aptos" w:hAnsi="Aptos" w:cs="Aptos"/>
          <w:color w:val="000000" w:themeColor="text1"/>
        </w:rPr>
        <w:t>approach built</w:t>
      </w:r>
      <w:proofErr w:type="gramEnd"/>
      <w:r w:rsidRPr="0BC2EB94">
        <w:rPr>
          <w:rFonts w:ascii="Aptos" w:eastAsia="Aptos" w:hAnsi="Aptos" w:cs="Aptos"/>
          <w:color w:val="000000" w:themeColor="text1"/>
        </w:rPr>
        <w:t xml:space="preserve"> Alex's capacity to navigate systems independently over time. Module 1 noted advocacy is "particularly important for individuals who lack skills or confidence to advocate for themselves" - Jordan's strategies developed these capabilities rather than creating ongoing dependence on case management services.</w:t>
      </w:r>
    </w:p>
    <w:p w14:paraId="3ADAED80" w14:textId="3039A64C" w:rsidR="66E8AFE2" w:rsidRDefault="66E8AFE2" w:rsidP="0BC2EB94">
      <w:pPr>
        <w:spacing w:before="240" w:after="240"/>
      </w:pPr>
      <w:r w:rsidRPr="0BC2EB94">
        <w:rPr>
          <w:rFonts w:ascii="Aptos" w:eastAsia="Aptos" w:hAnsi="Aptos" w:cs="Aptos"/>
          <w:b/>
          <w:bCs/>
          <w:color w:val="000000" w:themeColor="text1"/>
        </w:rPr>
        <w:t>Key Takeaway:</w:t>
      </w:r>
      <w:r w:rsidRPr="0BC2EB94">
        <w:rPr>
          <w:rFonts w:ascii="Aptos" w:eastAsia="Aptos" w:hAnsi="Aptos" w:cs="Aptos"/>
          <w:color w:val="000000" w:themeColor="text1"/>
        </w:rPr>
        <w:t xml:space="preserve"> Effective advocacy builds client capacity through supported practice and gradual skill development rather than indefinite assistance.</w:t>
      </w:r>
    </w:p>
    <w:p w14:paraId="74793E38" w14:textId="02CF7473" w:rsidR="0BC2EB94" w:rsidRDefault="0BC2EB94" w:rsidP="0BC2EB94">
      <w:pPr>
        <w:spacing w:beforeAutospacing="1" w:afterAutospacing="1" w:line="240" w:lineRule="auto"/>
        <w:rPr>
          <w:rFonts w:ascii="Aptos" w:eastAsia="Times New Roman" w:hAnsi="Aptos" w:cs="Times New Roman"/>
          <w:color w:val="000000" w:themeColor="text1"/>
        </w:rPr>
      </w:pPr>
    </w:p>
    <w:p w14:paraId="15047635" w14:textId="64BAEBD1" w:rsidR="0BC2EB94" w:rsidRDefault="0BC2EB94" w:rsidP="0BC2EB94">
      <w:pPr>
        <w:spacing w:beforeAutospacing="1" w:afterAutospacing="1" w:line="240" w:lineRule="auto"/>
        <w:rPr>
          <w:rFonts w:ascii="Aptos" w:eastAsia="Times New Roman" w:hAnsi="Aptos" w:cs="Times New Roman"/>
          <w:color w:val="000000" w:themeColor="text1"/>
        </w:rPr>
      </w:pPr>
    </w:p>
    <w:sectPr w:rsidR="0BC2EB94">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3B53" w14:textId="77777777" w:rsidR="008F1D32" w:rsidRDefault="008F1D32" w:rsidP="009A4A55">
      <w:pPr>
        <w:spacing w:after="0" w:line="240" w:lineRule="auto"/>
      </w:pPr>
      <w:r>
        <w:separator/>
      </w:r>
    </w:p>
  </w:endnote>
  <w:endnote w:type="continuationSeparator" w:id="0">
    <w:p w14:paraId="7774ECF0" w14:textId="77777777" w:rsidR="008F1D32" w:rsidRDefault="008F1D32" w:rsidP="009A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79F9" w14:textId="77777777" w:rsidR="008F1D32" w:rsidRDefault="008F1D32" w:rsidP="009A4A55">
      <w:pPr>
        <w:spacing w:after="0" w:line="240" w:lineRule="auto"/>
      </w:pPr>
      <w:r>
        <w:separator/>
      </w:r>
    </w:p>
  </w:footnote>
  <w:footnote w:type="continuationSeparator" w:id="0">
    <w:p w14:paraId="4C9F7636" w14:textId="77777777" w:rsidR="008F1D32" w:rsidRDefault="008F1D32" w:rsidP="009A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6298212"/>
      <w:docPartObj>
        <w:docPartGallery w:val="Page Numbers (Top of Page)"/>
        <w:docPartUnique/>
      </w:docPartObj>
    </w:sdtPr>
    <w:sdtContent>
      <w:p w14:paraId="14F96FC7" w14:textId="3A426270" w:rsidR="009A4A55" w:rsidRDefault="009A4A55" w:rsidP="003A77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AD5AD6D" w14:textId="77777777" w:rsidR="009A4A55" w:rsidRDefault="009A4A55" w:rsidP="009A4A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2248184"/>
      <w:docPartObj>
        <w:docPartGallery w:val="Page Numbers (Top of Page)"/>
        <w:docPartUnique/>
      </w:docPartObj>
    </w:sdtPr>
    <w:sdtContent>
      <w:p w14:paraId="17A0D410" w14:textId="463137EF" w:rsidR="009A4A55" w:rsidRDefault="009A4A55" w:rsidP="003A77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C1906E" w14:textId="240764A5" w:rsidR="009A4A55" w:rsidRDefault="009A4A55" w:rsidP="009A4A55">
    <w:pPr>
      <w:pStyle w:val="Header"/>
      <w:ind w:right="360"/>
    </w:pPr>
    <w:r>
      <w:t>DBHDS Case Management for Substance Use Disorders</w:t>
    </w:r>
    <w:r>
      <w:tab/>
    </w:r>
  </w:p>
  <w:p w14:paraId="2F97C348" w14:textId="632E0B07" w:rsidR="009A4A55" w:rsidRPr="009A4A55" w:rsidRDefault="009A4A55">
    <w:pPr>
      <w:pStyle w:val="Header"/>
      <w:rPr>
        <w:b/>
        <w:bCs/>
      </w:rPr>
    </w:pPr>
    <w:r w:rsidRPr="009A4A55">
      <w:rPr>
        <w:b/>
        <w:bCs/>
      </w:rPr>
      <w:t>Module 1: Introduction to Case Management for Substance Use Disorders</w:t>
    </w:r>
  </w:p>
  <w:p w14:paraId="5F5200CE" w14:textId="77777777" w:rsidR="009A4A55" w:rsidRDefault="009A4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253"/>
    <w:multiLevelType w:val="hybridMultilevel"/>
    <w:tmpl w:val="F372141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B30E9"/>
    <w:multiLevelType w:val="multilevel"/>
    <w:tmpl w:val="3D74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34B22"/>
    <w:multiLevelType w:val="multilevel"/>
    <w:tmpl w:val="5A86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A3E5F"/>
    <w:multiLevelType w:val="multilevel"/>
    <w:tmpl w:val="11C0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16547"/>
    <w:multiLevelType w:val="multilevel"/>
    <w:tmpl w:val="6550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431E2"/>
    <w:multiLevelType w:val="multilevel"/>
    <w:tmpl w:val="AE50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0451A"/>
    <w:multiLevelType w:val="hybridMultilevel"/>
    <w:tmpl w:val="CFC8DAD2"/>
    <w:lvl w:ilvl="0" w:tplc="BBAE8A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F550E"/>
    <w:multiLevelType w:val="hybridMultilevel"/>
    <w:tmpl w:val="7EBA1136"/>
    <w:lvl w:ilvl="0" w:tplc="014C16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7672D"/>
    <w:multiLevelType w:val="multilevel"/>
    <w:tmpl w:val="86E438C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CA29F8"/>
    <w:multiLevelType w:val="multilevel"/>
    <w:tmpl w:val="A5B0F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0B4DF4"/>
    <w:multiLevelType w:val="multilevel"/>
    <w:tmpl w:val="A9F6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EB5E61"/>
    <w:multiLevelType w:val="multilevel"/>
    <w:tmpl w:val="CD42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4009C"/>
    <w:multiLevelType w:val="multilevel"/>
    <w:tmpl w:val="2E8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5149027">
    <w:abstractNumId w:val="4"/>
  </w:num>
  <w:num w:numId="2" w16cid:durableId="1403067459">
    <w:abstractNumId w:val="1"/>
  </w:num>
  <w:num w:numId="3" w16cid:durableId="1225679217">
    <w:abstractNumId w:val="10"/>
  </w:num>
  <w:num w:numId="4" w16cid:durableId="219369829">
    <w:abstractNumId w:val="11"/>
  </w:num>
  <w:num w:numId="5" w16cid:durableId="1565332507">
    <w:abstractNumId w:val="12"/>
  </w:num>
  <w:num w:numId="6" w16cid:durableId="368726938">
    <w:abstractNumId w:val="2"/>
  </w:num>
  <w:num w:numId="7" w16cid:durableId="1568566675">
    <w:abstractNumId w:val="3"/>
  </w:num>
  <w:num w:numId="8" w16cid:durableId="1273630663">
    <w:abstractNumId w:val="0"/>
  </w:num>
  <w:num w:numId="9" w16cid:durableId="1858764462">
    <w:abstractNumId w:val="8"/>
  </w:num>
  <w:num w:numId="10" w16cid:durableId="540048107">
    <w:abstractNumId w:val="6"/>
  </w:num>
  <w:num w:numId="11" w16cid:durableId="1599675183">
    <w:abstractNumId w:val="7"/>
  </w:num>
  <w:num w:numId="12" w16cid:durableId="398283616">
    <w:abstractNumId w:val="9"/>
  </w:num>
  <w:num w:numId="13" w16cid:durableId="6180299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A0"/>
    <w:rsid w:val="00095458"/>
    <w:rsid w:val="000C7183"/>
    <w:rsid w:val="00223028"/>
    <w:rsid w:val="00330783"/>
    <w:rsid w:val="003536BD"/>
    <w:rsid w:val="004B2DA2"/>
    <w:rsid w:val="004C3875"/>
    <w:rsid w:val="00575929"/>
    <w:rsid w:val="005B5AC6"/>
    <w:rsid w:val="00633095"/>
    <w:rsid w:val="007913C4"/>
    <w:rsid w:val="00800DA0"/>
    <w:rsid w:val="008D1FEA"/>
    <w:rsid w:val="008E1A04"/>
    <w:rsid w:val="008F1D32"/>
    <w:rsid w:val="0093429E"/>
    <w:rsid w:val="009A4A55"/>
    <w:rsid w:val="009A5BD4"/>
    <w:rsid w:val="00A0570B"/>
    <w:rsid w:val="00A1683B"/>
    <w:rsid w:val="00D611C8"/>
    <w:rsid w:val="00E032B4"/>
    <w:rsid w:val="00E36C8D"/>
    <w:rsid w:val="098C7202"/>
    <w:rsid w:val="0BC2EB94"/>
    <w:rsid w:val="0F3CB619"/>
    <w:rsid w:val="1DE27A2B"/>
    <w:rsid w:val="2447A1BD"/>
    <w:rsid w:val="2BCEC243"/>
    <w:rsid w:val="34D92FA3"/>
    <w:rsid w:val="3E809A2A"/>
    <w:rsid w:val="3EF260D5"/>
    <w:rsid w:val="4027C5DD"/>
    <w:rsid w:val="45FD03DF"/>
    <w:rsid w:val="4D927DE5"/>
    <w:rsid w:val="62D3959A"/>
    <w:rsid w:val="66E8AFE2"/>
    <w:rsid w:val="6D8A8522"/>
    <w:rsid w:val="7000820B"/>
    <w:rsid w:val="753AA46E"/>
    <w:rsid w:val="75D995AA"/>
    <w:rsid w:val="79970A27"/>
    <w:rsid w:val="7FAF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B8E2"/>
  <w15:chartTrackingRefBased/>
  <w15:docId w15:val="{CE244B7E-A5F1-D94D-991F-B6BA90AC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0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0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0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0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DA0"/>
    <w:rPr>
      <w:rFonts w:eastAsiaTheme="majorEastAsia" w:cstheme="majorBidi"/>
      <w:color w:val="272727" w:themeColor="text1" w:themeTint="D8"/>
    </w:rPr>
  </w:style>
  <w:style w:type="paragraph" w:styleId="Title">
    <w:name w:val="Title"/>
    <w:basedOn w:val="Normal"/>
    <w:next w:val="Normal"/>
    <w:link w:val="TitleChar"/>
    <w:uiPriority w:val="10"/>
    <w:qFormat/>
    <w:rsid w:val="00800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DA0"/>
    <w:pPr>
      <w:spacing w:before="160"/>
      <w:jc w:val="center"/>
    </w:pPr>
    <w:rPr>
      <w:i/>
      <w:iCs/>
      <w:color w:val="404040" w:themeColor="text1" w:themeTint="BF"/>
    </w:rPr>
  </w:style>
  <w:style w:type="character" w:customStyle="1" w:styleId="QuoteChar">
    <w:name w:val="Quote Char"/>
    <w:basedOn w:val="DefaultParagraphFont"/>
    <w:link w:val="Quote"/>
    <w:uiPriority w:val="29"/>
    <w:rsid w:val="00800DA0"/>
    <w:rPr>
      <w:i/>
      <w:iCs/>
      <w:color w:val="404040" w:themeColor="text1" w:themeTint="BF"/>
    </w:rPr>
  </w:style>
  <w:style w:type="paragraph" w:styleId="ListParagraph">
    <w:name w:val="List Paragraph"/>
    <w:basedOn w:val="Normal"/>
    <w:uiPriority w:val="34"/>
    <w:qFormat/>
    <w:rsid w:val="00800DA0"/>
    <w:pPr>
      <w:ind w:left="720"/>
      <w:contextualSpacing/>
    </w:pPr>
  </w:style>
  <w:style w:type="character" w:styleId="IntenseEmphasis">
    <w:name w:val="Intense Emphasis"/>
    <w:basedOn w:val="DefaultParagraphFont"/>
    <w:uiPriority w:val="21"/>
    <w:qFormat/>
    <w:rsid w:val="00800DA0"/>
    <w:rPr>
      <w:i/>
      <w:iCs/>
      <w:color w:val="0F4761" w:themeColor="accent1" w:themeShade="BF"/>
    </w:rPr>
  </w:style>
  <w:style w:type="paragraph" w:styleId="IntenseQuote">
    <w:name w:val="Intense Quote"/>
    <w:basedOn w:val="Normal"/>
    <w:next w:val="Normal"/>
    <w:link w:val="IntenseQuoteChar"/>
    <w:uiPriority w:val="30"/>
    <w:qFormat/>
    <w:rsid w:val="00800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DA0"/>
    <w:rPr>
      <w:i/>
      <w:iCs/>
      <w:color w:val="0F4761" w:themeColor="accent1" w:themeShade="BF"/>
    </w:rPr>
  </w:style>
  <w:style w:type="character" w:styleId="IntenseReference">
    <w:name w:val="Intense Reference"/>
    <w:basedOn w:val="DefaultParagraphFont"/>
    <w:uiPriority w:val="32"/>
    <w:qFormat/>
    <w:rsid w:val="00800DA0"/>
    <w:rPr>
      <w:b/>
      <w:bCs/>
      <w:smallCaps/>
      <w:color w:val="0F4761" w:themeColor="accent1" w:themeShade="BF"/>
      <w:spacing w:val="5"/>
    </w:rPr>
  </w:style>
  <w:style w:type="paragraph" w:styleId="NormalWeb">
    <w:name w:val="Normal (Web)"/>
    <w:basedOn w:val="Normal"/>
    <w:uiPriority w:val="99"/>
    <w:semiHidden/>
    <w:unhideWhenUsed/>
    <w:rsid w:val="00800D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00DA0"/>
    <w:rPr>
      <w:b/>
      <w:bCs/>
    </w:rPr>
  </w:style>
  <w:style w:type="character" w:customStyle="1" w:styleId="apple-converted-space">
    <w:name w:val="apple-converted-space"/>
    <w:basedOn w:val="DefaultParagraphFont"/>
    <w:rsid w:val="00800DA0"/>
  </w:style>
  <w:style w:type="paragraph" w:customStyle="1" w:styleId="p1">
    <w:name w:val="p1"/>
    <w:basedOn w:val="Normal"/>
    <w:rsid w:val="007913C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A4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A55"/>
  </w:style>
  <w:style w:type="paragraph" w:styleId="Footer">
    <w:name w:val="footer"/>
    <w:basedOn w:val="Normal"/>
    <w:link w:val="FooterChar"/>
    <w:uiPriority w:val="99"/>
    <w:unhideWhenUsed/>
    <w:rsid w:val="009A4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55"/>
  </w:style>
  <w:style w:type="character" w:styleId="PageNumber">
    <w:name w:val="page number"/>
    <w:basedOn w:val="DefaultParagraphFont"/>
    <w:uiPriority w:val="99"/>
    <w:semiHidden/>
    <w:unhideWhenUsed/>
    <w:rsid w:val="009A4A55"/>
  </w:style>
  <w:style w:type="numbering" w:customStyle="1" w:styleId="CurrentList1">
    <w:name w:val="Current List1"/>
    <w:uiPriority w:val="99"/>
    <w:rsid w:val="00330783"/>
    <w:pPr>
      <w:numPr>
        <w:numId w:val="9"/>
      </w:numPr>
    </w:pPr>
  </w:style>
  <w:style w:type="paragraph" w:customStyle="1" w:styleId="whitespace-normal">
    <w:name w:val="whitespace-normal"/>
    <w:basedOn w:val="Normal"/>
    <w:rsid w:val="009342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04260">
      <w:bodyDiv w:val="1"/>
      <w:marLeft w:val="0"/>
      <w:marRight w:val="0"/>
      <w:marTop w:val="0"/>
      <w:marBottom w:val="0"/>
      <w:divBdr>
        <w:top w:val="none" w:sz="0" w:space="0" w:color="auto"/>
        <w:left w:val="none" w:sz="0" w:space="0" w:color="auto"/>
        <w:bottom w:val="none" w:sz="0" w:space="0" w:color="auto"/>
        <w:right w:val="none" w:sz="0" w:space="0" w:color="auto"/>
      </w:divBdr>
    </w:div>
    <w:div w:id="546143734">
      <w:bodyDiv w:val="1"/>
      <w:marLeft w:val="0"/>
      <w:marRight w:val="0"/>
      <w:marTop w:val="0"/>
      <w:marBottom w:val="0"/>
      <w:divBdr>
        <w:top w:val="none" w:sz="0" w:space="0" w:color="auto"/>
        <w:left w:val="none" w:sz="0" w:space="0" w:color="auto"/>
        <w:bottom w:val="none" w:sz="0" w:space="0" w:color="auto"/>
        <w:right w:val="none" w:sz="0" w:space="0" w:color="auto"/>
      </w:divBdr>
    </w:div>
    <w:div w:id="796022023">
      <w:bodyDiv w:val="1"/>
      <w:marLeft w:val="0"/>
      <w:marRight w:val="0"/>
      <w:marTop w:val="0"/>
      <w:marBottom w:val="0"/>
      <w:divBdr>
        <w:top w:val="none" w:sz="0" w:space="0" w:color="auto"/>
        <w:left w:val="none" w:sz="0" w:space="0" w:color="auto"/>
        <w:bottom w:val="none" w:sz="0" w:space="0" w:color="auto"/>
        <w:right w:val="none" w:sz="0" w:space="0" w:color="auto"/>
      </w:divBdr>
    </w:div>
    <w:div w:id="821700301">
      <w:bodyDiv w:val="1"/>
      <w:marLeft w:val="0"/>
      <w:marRight w:val="0"/>
      <w:marTop w:val="0"/>
      <w:marBottom w:val="0"/>
      <w:divBdr>
        <w:top w:val="none" w:sz="0" w:space="0" w:color="auto"/>
        <w:left w:val="none" w:sz="0" w:space="0" w:color="auto"/>
        <w:bottom w:val="none" w:sz="0" w:space="0" w:color="auto"/>
        <w:right w:val="none" w:sz="0" w:space="0" w:color="auto"/>
      </w:divBdr>
    </w:div>
    <w:div w:id="826437912">
      <w:bodyDiv w:val="1"/>
      <w:marLeft w:val="0"/>
      <w:marRight w:val="0"/>
      <w:marTop w:val="0"/>
      <w:marBottom w:val="0"/>
      <w:divBdr>
        <w:top w:val="none" w:sz="0" w:space="0" w:color="auto"/>
        <w:left w:val="none" w:sz="0" w:space="0" w:color="auto"/>
        <w:bottom w:val="none" w:sz="0" w:space="0" w:color="auto"/>
        <w:right w:val="none" w:sz="0" w:space="0" w:color="auto"/>
      </w:divBdr>
    </w:div>
    <w:div w:id="970937059">
      <w:bodyDiv w:val="1"/>
      <w:marLeft w:val="0"/>
      <w:marRight w:val="0"/>
      <w:marTop w:val="0"/>
      <w:marBottom w:val="0"/>
      <w:divBdr>
        <w:top w:val="none" w:sz="0" w:space="0" w:color="auto"/>
        <w:left w:val="none" w:sz="0" w:space="0" w:color="auto"/>
        <w:bottom w:val="none" w:sz="0" w:space="0" w:color="auto"/>
        <w:right w:val="none" w:sz="0" w:space="0" w:color="auto"/>
      </w:divBdr>
    </w:div>
    <w:div w:id="1658145542">
      <w:bodyDiv w:val="1"/>
      <w:marLeft w:val="0"/>
      <w:marRight w:val="0"/>
      <w:marTop w:val="0"/>
      <w:marBottom w:val="0"/>
      <w:divBdr>
        <w:top w:val="none" w:sz="0" w:space="0" w:color="auto"/>
        <w:left w:val="none" w:sz="0" w:space="0" w:color="auto"/>
        <w:bottom w:val="none" w:sz="0" w:space="0" w:color="auto"/>
        <w:right w:val="none" w:sz="0" w:space="0" w:color="auto"/>
      </w:divBdr>
    </w:div>
    <w:div w:id="1722558150">
      <w:bodyDiv w:val="1"/>
      <w:marLeft w:val="0"/>
      <w:marRight w:val="0"/>
      <w:marTop w:val="0"/>
      <w:marBottom w:val="0"/>
      <w:divBdr>
        <w:top w:val="none" w:sz="0" w:space="0" w:color="auto"/>
        <w:left w:val="none" w:sz="0" w:space="0" w:color="auto"/>
        <w:bottom w:val="none" w:sz="0" w:space="0" w:color="auto"/>
        <w:right w:val="none" w:sz="0" w:space="0" w:color="auto"/>
      </w:divBdr>
    </w:div>
    <w:div w:id="1805466958">
      <w:bodyDiv w:val="1"/>
      <w:marLeft w:val="0"/>
      <w:marRight w:val="0"/>
      <w:marTop w:val="0"/>
      <w:marBottom w:val="0"/>
      <w:divBdr>
        <w:top w:val="none" w:sz="0" w:space="0" w:color="auto"/>
        <w:left w:val="none" w:sz="0" w:space="0" w:color="auto"/>
        <w:bottom w:val="none" w:sz="0" w:space="0" w:color="auto"/>
        <w:right w:val="none" w:sz="0" w:space="0" w:color="auto"/>
      </w:divBdr>
    </w:div>
    <w:div w:id="186609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B6B6C8388F604C9362BBFEBC4455FD" ma:contentTypeVersion="8" ma:contentTypeDescription="Create a new document." ma:contentTypeScope="" ma:versionID="ffe94b634dcf7ec18fe7b79081906b05">
  <xsd:schema xmlns:xsd="http://www.w3.org/2001/XMLSchema" xmlns:xs="http://www.w3.org/2001/XMLSchema" xmlns:p="http://schemas.microsoft.com/office/2006/metadata/properties" xmlns:ns2="64a51027-eb24-41d8-9ea2-fbcff4e9c188" targetNamespace="http://schemas.microsoft.com/office/2006/metadata/properties" ma:root="true" ma:fieldsID="5096b0bfe20d8c725488f6dd80948d9c" ns2:_="">
    <xsd:import namespace="64a51027-eb24-41d8-9ea2-fbcff4e9c1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51027-eb24-41d8-9ea2-fbcff4e9c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06A4F-50DD-48D6-B2D4-80B539835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3E4565-2EDF-4ADA-AF09-ABBD1B9C9E31}">
  <ds:schemaRefs>
    <ds:schemaRef ds:uri="http://schemas.microsoft.com/sharepoint/v3/contenttype/forms"/>
  </ds:schemaRefs>
</ds:datastoreItem>
</file>

<file path=customXml/itemProps3.xml><?xml version="1.0" encoding="utf-8"?>
<ds:datastoreItem xmlns:ds="http://schemas.openxmlformats.org/officeDocument/2006/customXml" ds:itemID="{1A4117A8-59CF-43E1-B701-278F213D5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51027-eb24-41d8-9ea2-fbcff4e9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1936</Words>
  <Characters>11041</Characters>
  <Application>Microsoft Office Word</Application>
  <DocSecurity>0</DocSecurity>
  <Lines>92</Lines>
  <Paragraphs>25</Paragraphs>
  <ScaleCrop>false</ScaleCrop>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Kristen E.</dc:creator>
  <cp:keywords/>
  <dc:description/>
  <cp:lastModifiedBy>Ingram, Kristen E.</cp:lastModifiedBy>
  <cp:revision>13</cp:revision>
  <dcterms:created xsi:type="dcterms:W3CDTF">2025-08-20T20:21:00Z</dcterms:created>
  <dcterms:modified xsi:type="dcterms:W3CDTF">2025-09-12T19:39:00Z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0x010100AFB6B6C8388F604C9362BBFEBC4455FD</vt:lpwstr>
  </property>
</Properties>
</file>